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136" w:rsidRDefault="00096136" w:rsidP="00096136">
      <w:pPr>
        <w:pStyle w:val="NoSpacing"/>
        <w:rPr>
          <w:rFonts w:ascii="Times New Roman" w:hAnsi="Times New Roman" w:cs="Times New Roman"/>
          <w:b/>
          <w:sz w:val="28"/>
          <w:szCs w:val="28"/>
        </w:rPr>
      </w:pPr>
      <w:r>
        <w:rPr>
          <w:rFonts w:ascii="Times New Roman" w:hAnsi="Times New Roman" w:cs="Times New Roman"/>
          <w:b/>
          <w:sz w:val="28"/>
          <w:szCs w:val="28"/>
        </w:rPr>
        <w:t>Marine Corps Association</w:t>
      </w:r>
    </w:p>
    <w:p w:rsidR="00096136" w:rsidRDefault="00096136" w:rsidP="00096136">
      <w:pPr>
        <w:pStyle w:val="NoSpacing"/>
        <w:rPr>
          <w:rFonts w:ascii="Times New Roman" w:hAnsi="Times New Roman" w:cs="Times New Roman"/>
          <w:b/>
          <w:sz w:val="28"/>
          <w:szCs w:val="28"/>
        </w:rPr>
      </w:pPr>
      <w:r>
        <w:rPr>
          <w:rFonts w:ascii="Times New Roman" w:hAnsi="Times New Roman" w:cs="Times New Roman"/>
          <w:b/>
          <w:sz w:val="28"/>
          <w:szCs w:val="28"/>
        </w:rPr>
        <w:t>Debt Policy</w:t>
      </w:r>
    </w:p>
    <w:p w:rsidR="00096136" w:rsidRDefault="00096136" w:rsidP="00096136">
      <w:pPr>
        <w:pStyle w:val="NoSpacing"/>
        <w:jc w:val="left"/>
        <w:rPr>
          <w:rFonts w:ascii="Times New Roman" w:hAnsi="Times New Roman" w:cs="Times New Roman"/>
          <w:b/>
          <w:sz w:val="28"/>
          <w:szCs w:val="28"/>
        </w:rPr>
      </w:pPr>
    </w:p>
    <w:p w:rsidR="00096136" w:rsidRPr="00096136" w:rsidRDefault="00096136" w:rsidP="00096136">
      <w:pPr>
        <w:pStyle w:val="NoSpacing"/>
        <w:numPr>
          <w:ilvl w:val="0"/>
          <w:numId w:val="2"/>
        </w:numPr>
        <w:jc w:val="left"/>
        <w:rPr>
          <w:rFonts w:ascii="Times New Roman" w:hAnsi="Times New Roman" w:cs="Times New Roman"/>
          <w:sz w:val="28"/>
          <w:szCs w:val="28"/>
          <w:u w:val="single"/>
        </w:rPr>
      </w:pPr>
      <w:r>
        <w:rPr>
          <w:rFonts w:ascii="Times New Roman" w:hAnsi="Times New Roman" w:cs="Times New Roman"/>
          <w:sz w:val="28"/>
          <w:szCs w:val="28"/>
        </w:rPr>
        <w:t xml:space="preserve"> </w:t>
      </w:r>
      <w:r w:rsidRPr="00096136">
        <w:rPr>
          <w:rFonts w:ascii="Times New Roman" w:hAnsi="Times New Roman" w:cs="Times New Roman"/>
          <w:sz w:val="28"/>
          <w:szCs w:val="28"/>
          <w:u w:val="single"/>
        </w:rPr>
        <w:t>Purpose</w:t>
      </w:r>
    </w:p>
    <w:p w:rsidR="00096136" w:rsidRDefault="00096136" w:rsidP="00096136">
      <w:pPr>
        <w:pStyle w:val="NoSpacing"/>
        <w:ind w:left="1080"/>
        <w:jc w:val="left"/>
        <w:rPr>
          <w:rFonts w:ascii="Times New Roman" w:hAnsi="Times New Roman" w:cs="Times New Roman"/>
          <w:sz w:val="28"/>
          <w:szCs w:val="28"/>
        </w:rPr>
      </w:pPr>
      <w:r>
        <w:rPr>
          <w:rFonts w:ascii="Times New Roman" w:hAnsi="Times New Roman" w:cs="Times New Roman"/>
          <w:sz w:val="28"/>
          <w:szCs w:val="28"/>
        </w:rPr>
        <w:t xml:space="preserve">The Board of Governor s of the Marine Corps Association (the “Association”) is responsible for the stewardship of Association financial resources.  The Association will encourage financial activities that are aligned with its mission, free of conflicts of interest and proportionate to the cost or obligation of the benefit received.  On occasion the Association may consider incurring debt with outside financial institutions to be in the best interest of the Association.  Any such debt should be incurred only if necessary </w:t>
      </w:r>
      <w:r w:rsidR="00BB1598">
        <w:rPr>
          <w:rFonts w:ascii="Times New Roman" w:hAnsi="Times New Roman" w:cs="Times New Roman"/>
          <w:sz w:val="28"/>
          <w:szCs w:val="28"/>
        </w:rPr>
        <w:t xml:space="preserve">and </w:t>
      </w:r>
      <w:r>
        <w:rPr>
          <w:rFonts w:ascii="Times New Roman" w:hAnsi="Times New Roman" w:cs="Times New Roman"/>
          <w:sz w:val="28"/>
          <w:szCs w:val="28"/>
        </w:rPr>
        <w:t>according the guidelines established herein.</w:t>
      </w:r>
    </w:p>
    <w:p w:rsidR="00096136" w:rsidRPr="00096136" w:rsidRDefault="00096136" w:rsidP="00096136">
      <w:pPr>
        <w:pStyle w:val="NoSpacing"/>
        <w:numPr>
          <w:ilvl w:val="0"/>
          <w:numId w:val="2"/>
        </w:numPr>
        <w:jc w:val="left"/>
        <w:rPr>
          <w:rFonts w:ascii="Times New Roman" w:hAnsi="Times New Roman" w:cs="Times New Roman"/>
          <w:sz w:val="28"/>
          <w:szCs w:val="28"/>
          <w:u w:val="single"/>
        </w:rPr>
      </w:pPr>
      <w:r>
        <w:rPr>
          <w:rFonts w:ascii="Times New Roman" w:hAnsi="Times New Roman" w:cs="Times New Roman"/>
          <w:sz w:val="28"/>
          <w:szCs w:val="28"/>
          <w:u w:val="single"/>
        </w:rPr>
        <w:t>General Guidelines and Authorities</w:t>
      </w:r>
    </w:p>
    <w:p w:rsidR="00096136" w:rsidRPr="00F12C6B" w:rsidRDefault="00F12C6B" w:rsidP="00096136">
      <w:pPr>
        <w:pStyle w:val="NoSpacing"/>
        <w:numPr>
          <w:ilvl w:val="0"/>
          <w:numId w:val="3"/>
        </w:numPr>
        <w:jc w:val="left"/>
        <w:rPr>
          <w:rFonts w:ascii="Times New Roman" w:hAnsi="Times New Roman" w:cs="Times New Roman"/>
          <w:sz w:val="28"/>
          <w:szCs w:val="28"/>
          <w:u w:val="single"/>
        </w:rPr>
      </w:pPr>
      <w:r>
        <w:rPr>
          <w:rFonts w:ascii="Times New Roman" w:hAnsi="Times New Roman" w:cs="Times New Roman"/>
          <w:sz w:val="28"/>
          <w:szCs w:val="28"/>
        </w:rPr>
        <w:t xml:space="preserve"> Prior to incurring debt from an outside financial institution or equipment vendor, the Chief Financial Officer of the Association or its delegate shall perform a cost/benefit analysis demonstrating 1)  the need for such indebtedness, 2) the financial benefit to be gained from such debt versus using internal funds and 3) source and timing of repayment.  </w:t>
      </w:r>
      <w:r w:rsidR="006E0C88">
        <w:rPr>
          <w:rFonts w:ascii="Times New Roman" w:hAnsi="Times New Roman" w:cs="Times New Roman"/>
          <w:sz w:val="28"/>
          <w:szCs w:val="28"/>
        </w:rPr>
        <w:t>This analysis will be shared with the President and CEO as well as with the Finance Committee.</w:t>
      </w:r>
    </w:p>
    <w:p w:rsidR="00F12C6B" w:rsidRPr="0081365A" w:rsidRDefault="00F12C6B" w:rsidP="0081365A">
      <w:pPr>
        <w:pStyle w:val="NoSpacing"/>
        <w:numPr>
          <w:ilvl w:val="0"/>
          <w:numId w:val="3"/>
        </w:numPr>
        <w:jc w:val="left"/>
        <w:rPr>
          <w:rFonts w:ascii="Times New Roman" w:hAnsi="Times New Roman" w:cs="Times New Roman"/>
          <w:sz w:val="28"/>
          <w:szCs w:val="28"/>
          <w:u w:val="single"/>
        </w:rPr>
      </w:pPr>
      <w:r>
        <w:rPr>
          <w:rFonts w:ascii="Times New Roman" w:hAnsi="Times New Roman" w:cs="Times New Roman"/>
          <w:sz w:val="28"/>
          <w:szCs w:val="28"/>
        </w:rPr>
        <w:t>The President and CEO has the authority to incur loans and leases from a financial institution or equipment vendor in a cumulative commitment amount not to exceed $200,000 per</w:t>
      </w:r>
      <w:r w:rsidR="00BB1598">
        <w:rPr>
          <w:rFonts w:ascii="Times New Roman" w:hAnsi="Times New Roman" w:cs="Times New Roman"/>
          <w:sz w:val="28"/>
          <w:szCs w:val="28"/>
        </w:rPr>
        <w:t xml:space="preserve"> annum, either as a new credit facility or as advances under an existing line of credit.</w:t>
      </w:r>
      <w:r>
        <w:rPr>
          <w:rFonts w:ascii="Times New Roman" w:hAnsi="Times New Roman" w:cs="Times New Roman"/>
          <w:sz w:val="28"/>
          <w:szCs w:val="28"/>
        </w:rPr>
        <w:t xml:space="preserve">  The Presid</w:t>
      </w:r>
      <w:r w:rsidR="00A04E32">
        <w:rPr>
          <w:rFonts w:ascii="Times New Roman" w:hAnsi="Times New Roman" w:cs="Times New Roman"/>
          <w:sz w:val="28"/>
          <w:szCs w:val="28"/>
        </w:rPr>
        <w:t>ent and CEO will seek the approval</w:t>
      </w:r>
      <w:r>
        <w:rPr>
          <w:rFonts w:ascii="Times New Roman" w:hAnsi="Times New Roman" w:cs="Times New Roman"/>
          <w:sz w:val="28"/>
          <w:szCs w:val="28"/>
        </w:rPr>
        <w:t xml:space="preserve"> of the Finance Committee and consent o</w:t>
      </w:r>
      <w:r w:rsidRPr="0081365A">
        <w:rPr>
          <w:rFonts w:ascii="Times New Roman" w:hAnsi="Times New Roman" w:cs="Times New Roman"/>
          <w:sz w:val="28"/>
          <w:szCs w:val="28"/>
        </w:rPr>
        <w:t xml:space="preserve">f the Executive Committee for any </w:t>
      </w:r>
      <w:r w:rsidR="006E0C88" w:rsidRPr="0081365A">
        <w:rPr>
          <w:rFonts w:ascii="Times New Roman" w:hAnsi="Times New Roman" w:cs="Times New Roman"/>
          <w:sz w:val="28"/>
          <w:szCs w:val="28"/>
        </w:rPr>
        <w:t>individual loans or leases ex</w:t>
      </w:r>
      <w:r w:rsidR="00A04E32" w:rsidRPr="0081365A">
        <w:rPr>
          <w:rFonts w:ascii="Times New Roman" w:hAnsi="Times New Roman" w:cs="Times New Roman"/>
          <w:sz w:val="28"/>
          <w:szCs w:val="28"/>
        </w:rPr>
        <w:t>ceeding $200,000 or</w:t>
      </w:r>
      <w:r w:rsidR="006E0C88" w:rsidRPr="0081365A">
        <w:rPr>
          <w:rFonts w:ascii="Times New Roman" w:hAnsi="Times New Roman" w:cs="Times New Roman"/>
          <w:sz w:val="28"/>
          <w:szCs w:val="28"/>
        </w:rPr>
        <w:t xml:space="preserve"> when the cumulative</w:t>
      </w:r>
      <w:r w:rsidR="00A04E32" w:rsidRPr="0081365A">
        <w:rPr>
          <w:rFonts w:ascii="Times New Roman" w:hAnsi="Times New Roman" w:cs="Times New Roman"/>
          <w:sz w:val="28"/>
          <w:szCs w:val="28"/>
        </w:rPr>
        <w:t xml:space="preserve"> new</w:t>
      </w:r>
      <w:r w:rsidR="006E0C88" w:rsidRPr="0081365A">
        <w:rPr>
          <w:rFonts w:ascii="Times New Roman" w:hAnsi="Times New Roman" w:cs="Times New Roman"/>
          <w:sz w:val="28"/>
          <w:szCs w:val="28"/>
        </w:rPr>
        <w:t xml:space="preserve"> loan or lease commitments exceed $200,000</w:t>
      </w:r>
      <w:r w:rsidR="00A04E32" w:rsidRPr="0081365A">
        <w:rPr>
          <w:rFonts w:ascii="Times New Roman" w:hAnsi="Times New Roman" w:cs="Times New Roman"/>
          <w:sz w:val="28"/>
          <w:szCs w:val="28"/>
        </w:rPr>
        <w:t xml:space="preserve"> in any given fiscal year.</w:t>
      </w:r>
      <w:r w:rsidR="0081365A" w:rsidRPr="0081365A">
        <w:rPr>
          <w:rFonts w:ascii="Times New Roman" w:hAnsi="Times New Roman" w:cs="Times New Roman"/>
          <w:sz w:val="28"/>
          <w:szCs w:val="28"/>
        </w:rPr>
        <w:t xml:space="preserve">  </w:t>
      </w:r>
      <w:r w:rsidR="00BB1598">
        <w:rPr>
          <w:rFonts w:ascii="Times New Roman" w:hAnsi="Times New Roman" w:cs="Times New Roman"/>
          <w:sz w:val="28"/>
          <w:szCs w:val="28"/>
        </w:rPr>
        <w:t xml:space="preserve">This applies both to new loans or leases or advances under an existing line of credit.  </w:t>
      </w:r>
      <w:r w:rsidR="0081365A" w:rsidRPr="0081365A">
        <w:rPr>
          <w:rFonts w:ascii="Times New Roman" w:hAnsi="Times New Roman" w:cs="Times New Roman"/>
          <w:sz w:val="28"/>
          <w:szCs w:val="28"/>
        </w:rPr>
        <w:t>Any</w:t>
      </w:r>
      <w:r w:rsidR="007B6DC3">
        <w:rPr>
          <w:rFonts w:ascii="Times New Roman" w:hAnsi="Times New Roman" w:cs="Times New Roman"/>
          <w:sz w:val="28"/>
          <w:szCs w:val="28"/>
        </w:rPr>
        <w:t xml:space="preserve"> new credit facilities </w:t>
      </w:r>
      <w:r w:rsidR="00BB1598">
        <w:rPr>
          <w:rFonts w:ascii="Times New Roman" w:hAnsi="Times New Roman" w:cs="Times New Roman"/>
          <w:sz w:val="28"/>
          <w:szCs w:val="28"/>
        </w:rPr>
        <w:t>or advances u</w:t>
      </w:r>
      <w:r w:rsidR="007B6DC3">
        <w:rPr>
          <w:rFonts w:ascii="Times New Roman" w:hAnsi="Times New Roman" w:cs="Times New Roman"/>
          <w:sz w:val="28"/>
          <w:szCs w:val="28"/>
        </w:rPr>
        <w:t>nd</w:t>
      </w:r>
      <w:r w:rsidR="002118F3">
        <w:rPr>
          <w:rFonts w:ascii="Times New Roman" w:hAnsi="Times New Roman" w:cs="Times New Roman"/>
          <w:sz w:val="28"/>
          <w:szCs w:val="28"/>
        </w:rPr>
        <w:t>er an existing line of credit in the lesser amount</w:t>
      </w:r>
      <w:r w:rsidR="007B6DC3">
        <w:rPr>
          <w:rFonts w:ascii="Times New Roman" w:hAnsi="Times New Roman" w:cs="Times New Roman"/>
          <w:sz w:val="28"/>
          <w:szCs w:val="28"/>
        </w:rPr>
        <w:t xml:space="preserve"> of $500,000 or 5% of the current market value of the Association’s</w:t>
      </w:r>
      <w:r w:rsidR="002118F3">
        <w:rPr>
          <w:rFonts w:ascii="Times New Roman" w:hAnsi="Times New Roman" w:cs="Times New Roman"/>
          <w:sz w:val="28"/>
          <w:szCs w:val="28"/>
        </w:rPr>
        <w:t xml:space="preserve"> aggregate</w:t>
      </w:r>
      <w:r w:rsidR="007B6DC3">
        <w:rPr>
          <w:rFonts w:ascii="Times New Roman" w:hAnsi="Times New Roman" w:cs="Times New Roman"/>
          <w:sz w:val="28"/>
          <w:szCs w:val="28"/>
        </w:rPr>
        <w:t xml:space="preserve"> investment</w:t>
      </w:r>
      <w:r w:rsidR="002118F3">
        <w:rPr>
          <w:rFonts w:ascii="Times New Roman" w:hAnsi="Times New Roman" w:cs="Times New Roman"/>
          <w:sz w:val="28"/>
          <w:szCs w:val="28"/>
        </w:rPr>
        <w:t xml:space="preserve"> portfolio at that time</w:t>
      </w:r>
      <w:proofErr w:type="gramStart"/>
      <w:r w:rsidR="002118F3">
        <w:rPr>
          <w:rFonts w:ascii="Times New Roman" w:hAnsi="Times New Roman" w:cs="Times New Roman"/>
          <w:sz w:val="28"/>
          <w:szCs w:val="28"/>
        </w:rPr>
        <w:t xml:space="preserve">, </w:t>
      </w:r>
      <w:r w:rsidR="007B6DC3">
        <w:rPr>
          <w:rFonts w:ascii="Times New Roman" w:hAnsi="Times New Roman" w:cs="Times New Roman"/>
          <w:sz w:val="28"/>
          <w:szCs w:val="28"/>
        </w:rPr>
        <w:t xml:space="preserve"> </w:t>
      </w:r>
      <w:r w:rsidR="0081365A" w:rsidRPr="0081365A">
        <w:rPr>
          <w:rFonts w:ascii="Times New Roman" w:hAnsi="Times New Roman" w:cs="Times New Roman"/>
          <w:sz w:val="28"/>
          <w:szCs w:val="28"/>
        </w:rPr>
        <w:t>require</w:t>
      </w:r>
      <w:proofErr w:type="gramEnd"/>
      <w:r w:rsidR="0081365A" w:rsidRPr="0081365A">
        <w:rPr>
          <w:rFonts w:ascii="Times New Roman" w:hAnsi="Times New Roman" w:cs="Times New Roman"/>
          <w:sz w:val="28"/>
          <w:szCs w:val="28"/>
        </w:rPr>
        <w:t xml:space="preserve"> approval of the full board of the Association.</w:t>
      </w:r>
    </w:p>
    <w:p w:rsidR="006E0C88" w:rsidRPr="00A04E32" w:rsidRDefault="00A04E32" w:rsidP="00A04E32">
      <w:pPr>
        <w:pStyle w:val="NoSpacing"/>
        <w:numPr>
          <w:ilvl w:val="0"/>
          <w:numId w:val="2"/>
        </w:numPr>
        <w:jc w:val="left"/>
        <w:rPr>
          <w:rFonts w:ascii="Times New Roman" w:hAnsi="Times New Roman" w:cs="Times New Roman"/>
          <w:sz w:val="28"/>
          <w:szCs w:val="28"/>
          <w:u w:val="single"/>
        </w:rPr>
      </w:pPr>
      <w:r>
        <w:rPr>
          <w:rFonts w:ascii="Times New Roman" w:hAnsi="Times New Roman" w:cs="Times New Roman"/>
          <w:sz w:val="28"/>
          <w:szCs w:val="28"/>
          <w:u w:val="single"/>
        </w:rPr>
        <w:t>Reporting Requirements</w:t>
      </w:r>
    </w:p>
    <w:p w:rsidR="00A04E32" w:rsidRDefault="00A04E32" w:rsidP="00A04E32">
      <w:pPr>
        <w:pStyle w:val="NoSpacing"/>
        <w:ind w:left="1080"/>
        <w:jc w:val="left"/>
        <w:rPr>
          <w:rFonts w:ascii="Times New Roman" w:hAnsi="Times New Roman" w:cs="Times New Roman"/>
          <w:sz w:val="28"/>
          <w:szCs w:val="28"/>
        </w:rPr>
      </w:pPr>
      <w:r>
        <w:rPr>
          <w:rFonts w:ascii="Times New Roman" w:hAnsi="Times New Roman" w:cs="Times New Roman"/>
          <w:sz w:val="28"/>
          <w:szCs w:val="28"/>
        </w:rPr>
        <w:t>The President and CEO will inform the Finance Committee and Executive Committee of any new credit facilities</w:t>
      </w:r>
      <w:r w:rsidR="00A236A9">
        <w:rPr>
          <w:rFonts w:ascii="Times New Roman" w:hAnsi="Times New Roman" w:cs="Times New Roman"/>
          <w:sz w:val="28"/>
          <w:szCs w:val="28"/>
        </w:rPr>
        <w:t xml:space="preserve"> of $200,000 or less</w:t>
      </w:r>
      <w:r>
        <w:rPr>
          <w:rFonts w:ascii="Times New Roman" w:hAnsi="Times New Roman" w:cs="Times New Roman"/>
          <w:sz w:val="28"/>
          <w:szCs w:val="28"/>
        </w:rPr>
        <w:t xml:space="preserve"> prior to the next scheduled board meeting following the incurrence of any such loans or leases.  An</w:t>
      </w:r>
      <w:r w:rsidR="00A236A9">
        <w:rPr>
          <w:rFonts w:ascii="Times New Roman" w:hAnsi="Times New Roman" w:cs="Times New Roman"/>
          <w:sz w:val="28"/>
          <w:szCs w:val="28"/>
        </w:rPr>
        <w:t>y new</w:t>
      </w:r>
      <w:r w:rsidR="0081365A">
        <w:rPr>
          <w:rFonts w:ascii="Times New Roman" w:hAnsi="Times New Roman" w:cs="Times New Roman"/>
          <w:sz w:val="28"/>
          <w:szCs w:val="28"/>
        </w:rPr>
        <w:t xml:space="preserve"> credit facilities</w:t>
      </w:r>
      <w:r w:rsidR="00A236A9">
        <w:rPr>
          <w:rFonts w:ascii="Times New Roman" w:hAnsi="Times New Roman" w:cs="Times New Roman"/>
          <w:sz w:val="28"/>
          <w:szCs w:val="28"/>
        </w:rPr>
        <w:t>, as well as advances und</w:t>
      </w:r>
      <w:r w:rsidR="002118F3">
        <w:rPr>
          <w:rFonts w:ascii="Times New Roman" w:hAnsi="Times New Roman" w:cs="Times New Roman"/>
          <w:sz w:val="28"/>
          <w:szCs w:val="28"/>
        </w:rPr>
        <w:t>er any existing line of credit in an</w:t>
      </w:r>
      <w:r w:rsidR="0081365A">
        <w:rPr>
          <w:rFonts w:ascii="Times New Roman" w:hAnsi="Times New Roman" w:cs="Times New Roman"/>
          <w:sz w:val="28"/>
          <w:szCs w:val="28"/>
        </w:rPr>
        <w:t xml:space="preserve"> amou</w:t>
      </w:r>
      <w:r w:rsidR="002118F3">
        <w:rPr>
          <w:rFonts w:ascii="Times New Roman" w:hAnsi="Times New Roman" w:cs="Times New Roman"/>
          <w:sz w:val="28"/>
          <w:szCs w:val="28"/>
        </w:rPr>
        <w:t xml:space="preserve">nt between $200,000 and $500,000, </w:t>
      </w:r>
      <w:r w:rsidR="0081365A">
        <w:rPr>
          <w:rFonts w:ascii="Times New Roman" w:hAnsi="Times New Roman" w:cs="Times New Roman"/>
          <w:sz w:val="28"/>
          <w:szCs w:val="28"/>
        </w:rPr>
        <w:lastRenderedPageBreak/>
        <w:t xml:space="preserve">either individually or cumulatively, shall be </w:t>
      </w:r>
      <w:proofErr w:type="gramStart"/>
      <w:r w:rsidR="0081365A">
        <w:rPr>
          <w:rFonts w:ascii="Times New Roman" w:hAnsi="Times New Roman" w:cs="Times New Roman"/>
          <w:sz w:val="28"/>
          <w:szCs w:val="28"/>
        </w:rPr>
        <w:t>reported  to</w:t>
      </w:r>
      <w:proofErr w:type="gramEnd"/>
      <w:r w:rsidR="0081365A">
        <w:rPr>
          <w:rFonts w:ascii="Times New Roman" w:hAnsi="Times New Roman" w:cs="Times New Roman"/>
          <w:sz w:val="28"/>
          <w:szCs w:val="28"/>
        </w:rPr>
        <w:t xml:space="preserve"> the full board of the Association  at that meeting.  In accordance with </w:t>
      </w:r>
      <w:proofErr w:type="gramStart"/>
      <w:r w:rsidR="0081365A">
        <w:rPr>
          <w:rFonts w:ascii="Times New Roman" w:hAnsi="Times New Roman" w:cs="Times New Roman"/>
          <w:sz w:val="28"/>
          <w:szCs w:val="28"/>
        </w:rPr>
        <w:t>II(</w:t>
      </w:r>
      <w:proofErr w:type="gramEnd"/>
      <w:r w:rsidR="0081365A">
        <w:rPr>
          <w:rFonts w:ascii="Times New Roman" w:hAnsi="Times New Roman" w:cs="Times New Roman"/>
          <w:sz w:val="28"/>
          <w:szCs w:val="28"/>
        </w:rPr>
        <w:t xml:space="preserve">b), any </w:t>
      </w:r>
      <w:r w:rsidR="00A236A9">
        <w:rPr>
          <w:rFonts w:ascii="Times New Roman" w:hAnsi="Times New Roman" w:cs="Times New Roman"/>
          <w:sz w:val="28"/>
          <w:szCs w:val="28"/>
        </w:rPr>
        <w:t xml:space="preserve">new </w:t>
      </w:r>
      <w:r w:rsidR="0081365A">
        <w:rPr>
          <w:rFonts w:ascii="Times New Roman" w:hAnsi="Times New Roman" w:cs="Times New Roman"/>
          <w:sz w:val="28"/>
          <w:szCs w:val="28"/>
        </w:rPr>
        <w:t>credit facilities</w:t>
      </w:r>
      <w:r w:rsidR="00A236A9">
        <w:rPr>
          <w:rFonts w:ascii="Times New Roman" w:hAnsi="Times New Roman" w:cs="Times New Roman"/>
          <w:sz w:val="28"/>
          <w:szCs w:val="28"/>
        </w:rPr>
        <w:t xml:space="preserve"> or advances under an existing line of credit</w:t>
      </w:r>
      <w:r w:rsidR="002118F3">
        <w:rPr>
          <w:rFonts w:ascii="Times New Roman" w:hAnsi="Times New Roman" w:cs="Times New Roman"/>
          <w:sz w:val="28"/>
          <w:szCs w:val="28"/>
        </w:rPr>
        <w:t xml:space="preserve"> in excess of $500,000 or 5% of the market value of the Association’s aggregate investment portfolio</w:t>
      </w:r>
      <w:r w:rsidR="0081365A">
        <w:rPr>
          <w:rFonts w:ascii="Times New Roman" w:hAnsi="Times New Roman" w:cs="Times New Roman"/>
          <w:sz w:val="28"/>
          <w:szCs w:val="28"/>
        </w:rPr>
        <w:t xml:space="preserve"> require full board approval.</w:t>
      </w:r>
    </w:p>
    <w:p w:rsidR="0081365A" w:rsidRDefault="0081365A" w:rsidP="00A04E32">
      <w:pPr>
        <w:pStyle w:val="NoSpacing"/>
        <w:ind w:left="1080"/>
        <w:jc w:val="left"/>
        <w:rPr>
          <w:rFonts w:ascii="Times New Roman" w:hAnsi="Times New Roman" w:cs="Times New Roman"/>
          <w:sz w:val="28"/>
          <w:szCs w:val="28"/>
        </w:rPr>
      </w:pPr>
    </w:p>
    <w:p w:rsidR="0081365A" w:rsidRDefault="0081365A" w:rsidP="0081365A">
      <w:pPr>
        <w:pStyle w:val="NoSpacing"/>
        <w:numPr>
          <w:ilvl w:val="0"/>
          <w:numId w:val="2"/>
        </w:numPr>
        <w:jc w:val="left"/>
        <w:rPr>
          <w:rFonts w:ascii="Times New Roman" w:hAnsi="Times New Roman" w:cs="Times New Roman"/>
          <w:sz w:val="28"/>
          <w:szCs w:val="28"/>
          <w:u w:val="single"/>
        </w:rPr>
      </w:pPr>
      <w:r>
        <w:rPr>
          <w:rFonts w:ascii="Times New Roman" w:hAnsi="Times New Roman" w:cs="Times New Roman"/>
          <w:sz w:val="28"/>
          <w:szCs w:val="28"/>
          <w:u w:val="single"/>
        </w:rPr>
        <w:t>Review Responsibilities</w:t>
      </w:r>
    </w:p>
    <w:p w:rsidR="0081365A" w:rsidRDefault="0081365A" w:rsidP="0081365A">
      <w:pPr>
        <w:pStyle w:val="NoSpacing"/>
        <w:ind w:left="1080"/>
        <w:jc w:val="left"/>
        <w:rPr>
          <w:rFonts w:ascii="Times New Roman" w:hAnsi="Times New Roman" w:cs="Times New Roman"/>
          <w:sz w:val="28"/>
          <w:szCs w:val="28"/>
        </w:rPr>
      </w:pPr>
      <w:r>
        <w:rPr>
          <w:rFonts w:ascii="Times New Roman" w:hAnsi="Times New Roman" w:cs="Times New Roman"/>
          <w:sz w:val="28"/>
          <w:szCs w:val="28"/>
        </w:rPr>
        <w:t xml:space="preserve">This policy shall be reviewed annually.  The Finance Committee shall report the status of compliance </w:t>
      </w:r>
      <w:proofErr w:type="spellStart"/>
      <w:r>
        <w:rPr>
          <w:rFonts w:ascii="Times New Roman" w:hAnsi="Times New Roman" w:cs="Times New Roman"/>
          <w:sz w:val="28"/>
          <w:szCs w:val="28"/>
        </w:rPr>
        <w:t>thereunder</w:t>
      </w:r>
      <w:proofErr w:type="spellEnd"/>
      <w:r>
        <w:rPr>
          <w:rFonts w:ascii="Times New Roman" w:hAnsi="Times New Roman" w:cs="Times New Roman"/>
          <w:sz w:val="28"/>
          <w:szCs w:val="28"/>
        </w:rPr>
        <w:t xml:space="preserve"> to the full board of the Association at the next board meeting following such review.</w:t>
      </w:r>
    </w:p>
    <w:p w:rsidR="002118F3" w:rsidRDefault="002118F3" w:rsidP="0081365A">
      <w:pPr>
        <w:pStyle w:val="NoSpacing"/>
        <w:ind w:left="1080"/>
        <w:jc w:val="left"/>
        <w:rPr>
          <w:rFonts w:ascii="Times New Roman" w:hAnsi="Times New Roman" w:cs="Times New Roman"/>
          <w:sz w:val="28"/>
          <w:szCs w:val="28"/>
        </w:rPr>
      </w:pPr>
    </w:p>
    <w:p w:rsidR="002118F3" w:rsidRDefault="002118F3" w:rsidP="0081365A">
      <w:pPr>
        <w:pStyle w:val="NoSpacing"/>
        <w:ind w:left="1080"/>
        <w:jc w:val="left"/>
        <w:rPr>
          <w:rFonts w:ascii="Times New Roman" w:hAnsi="Times New Roman" w:cs="Times New Roman"/>
          <w:sz w:val="28"/>
          <w:szCs w:val="28"/>
        </w:rPr>
      </w:pPr>
      <w:r>
        <w:rPr>
          <w:rFonts w:ascii="Times New Roman" w:hAnsi="Times New Roman" w:cs="Times New Roman"/>
          <w:sz w:val="28"/>
          <w:szCs w:val="28"/>
        </w:rPr>
        <w:t xml:space="preserve">This Policy replaces </w:t>
      </w:r>
      <w:r w:rsidR="006B66BA">
        <w:rPr>
          <w:rFonts w:ascii="Times New Roman" w:hAnsi="Times New Roman" w:cs="Times New Roman"/>
          <w:sz w:val="28"/>
          <w:szCs w:val="28"/>
        </w:rPr>
        <w:t>and supersedes any prior arrangements of the Association regarding borrowing, approval authorities and reporting requirements.</w:t>
      </w:r>
    </w:p>
    <w:p w:rsidR="0081365A" w:rsidRDefault="0081365A" w:rsidP="0081365A">
      <w:pPr>
        <w:pStyle w:val="NoSpacing"/>
        <w:ind w:left="1080"/>
        <w:jc w:val="left"/>
        <w:rPr>
          <w:rFonts w:ascii="Times New Roman" w:hAnsi="Times New Roman" w:cs="Times New Roman"/>
          <w:sz w:val="28"/>
          <w:szCs w:val="28"/>
        </w:rPr>
      </w:pPr>
    </w:p>
    <w:p w:rsidR="0081365A" w:rsidRDefault="0081365A" w:rsidP="0081365A">
      <w:pPr>
        <w:pStyle w:val="NoSpacing"/>
        <w:ind w:left="1080"/>
        <w:jc w:val="left"/>
        <w:rPr>
          <w:rFonts w:ascii="Times New Roman" w:hAnsi="Times New Roman" w:cs="Times New Roman"/>
          <w:sz w:val="28"/>
          <w:szCs w:val="28"/>
        </w:rPr>
      </w:pPr>
    </w:p>
    <w:p w:rsidR="0081365A" w:rsidRDefault="0081365A" w:rsidP="0081365A">
      <w:pPr>
        <w:pStyle w:val="NoSpacing"/>
        <w:ind w:left="1080"/>
        <w:jc w:val="left"/>
        <w:rPr>
          <w:rFonts w:ascii="Times New Roman" w:hAnsi="Times New Roman" w:cs="Times New Roman"/>
          <w:sz w:val="28"/>
          <w:szCs w:val="28"/>
        </w:rPr>
      </w:pPr>
    </w:p>
    <w:p w:rsidR="0081365A" w:rsidRDefault="0081365A" w:rsidP="0081365A">
      <w:pPr>
        <w:pStyle w:val="NoSpacing"/>
        <w:ind w:left="1080"/>
        <w:jc w:val="left"/>
        <w:rPr>
          <w:rFonts w:ascii="Times New Roman" w:hAnsi="Times New Roman" w:cs="Times New Roman"/>
          <w:sz w:val="28"/>
          <w:szCs w:val="28"/>
        </w:rPr>
      </w:pPr>
      <w:r>
        <w:rPr>
          <w:rFonts w:ascii="Times New Roman" w:hAnsi="Times New Roman" w:cs="Times New Roman"/>
          <w:sz w:val="28"/>
          <w:szCs w:val="28"/>
        </w:rPr>
        <w:t>Approved ____________________________</w:t>
      </w:r>
    </w:p>
    <w:p w:rsidR="0081365A" w:rsidRPr="0081365A" w:rsidRDefault="0081365A" w:rsidP="0081365A">
      <w:pPr>
        <w:pStyle w:val="NoSpacing"/>
        <w:ind w:left="1080"/>
        <w:jc w:val="lef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(date)</w:t>
      </w:r>
    </w:p>
    <w:p w:rsidR="0081365A" w:rsidRPr="00096136" w:rsidRDefault="0081365A" w:rsidP="0081365A">
      <w:pPr>
        <w:pStyle w:val="NoSpacing"/>
        <w:ind w:left="1080"/>
        <w:jc w:val="left"/>
        <w:rPr>
          <w:rFonts w:ascii="Times New Roman" w:hAnsi="Times New Roman" w:cs="Times New Roman"/>
          <w:sz w:val="28"/>
          <w:szCs w:val="28"/>
          <w:u w:val="single"/>
        </w:rPr>
      </w:pPr>
    </w:p>
    <w:sectPr w:rsidR="0081365A" w:rsidRPr="00096136" w:rsidSect="007865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75D"/>
    <w:multiLevelType w:val="hybridMultilevel"/>
    <w:tmpl w:val="B25C02F6"/>
    <w:lvl w:ilvl="0" w:tplc="0B7047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B52A0D"/>
    <w:multiLevelType w:val="hybridMultilevel"/>
    <w:tmpl w:val="573277BC"/>
    <w:lvl w:ilvl="0" w:tplc="073849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161458"/>
    <w:multiLevelType w:val="hybridMultilevel"/>
    <w:tmpl w:val="60762B80"/>
    <w:lvl w:ilvl="0" w:tplc="F984E9E4">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6136"/>
    <w:rsid w:val="00096136"/>
    <w:rsid w:val="001A47BB"/>
    <w:rsid w:val="002118F3"/>
    <w:rsid w:val="004722BC"/>
    <w:rsid w:val="006B66BA"/>
    <w:rsid w:val="006E0C88"/>
    <w:rsid w:val="00786562"/>
    <w:rsid w:val="007B6DC3"/>
    <w:rsid w:val="0081365A"/>
    <w:rsid w:val="00A04E32"/>
    <w:rsid w:val="00A236A9"/>
    <w:rsid w:val="00BB1598"/>
    <w:rsid w:val="00D953DF"/>
    <w:rsid w:val="00F12C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5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6136"/>
    <w:pPr>
      <w:spacing w:after="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13989</vt:lpwstr>
  </property>
  <property fmtid="{D5CDD505-2E9C-101B-9397-08002B2CF9AE}" pid="4" name="OptimizationTime">
    <vt:lpwstr>20211201_1107</vt:lpwstr>
  </property>
</Properties>
</file>

<file path=docProps/app.xml><?xml version="1.0" encoding="utf-8"?>
<Properties xmlns="http://schemas.openxmlformats.org/officeDocument/2006/extended-properties" xmlns:vt="http://schemas.openxmlformats.org/officeDocument/2006/docPropsVTypes">
  <Template>Normal</Template>
  <TotalTime>104</TotalTime>
  <Pages>1</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G. Bird</dc:creator>
  <cp:lastModifiedBy>Christopher G. Bird</cp:lastModifiedBy>
  <cp:revision>4</cp:revision>
  <dcterms:created xsi:type="dcterms:W3CDTF">2021-10-28T16:21:00Z</dcterms:created>
  <dcterms:modified xsi:type="dcterms:W3CDTF">2021-10-29T16:40:00Z</dcterms:modified>
</cp:coreProperties>
</file>